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Default="00116EBF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>Execução de ações de promoção e comunicação do catálogo de experiências turísticas baseadas no PCI do Alentejo e Ribatejo</w:t>
      </w:r>
    </w:p>
    <w:p w:rsidR="008C1743" w:rsidRDefault="008C1743" w:rsidP="000144F8">
      <w:pPr>
        <w:jc w:val="center"/>
        <w:rPr>
          <w:lang w:val="pt-PT"/>
        </w:rPr>
      </w:pPr>
    </w:p>
    <w:p w:rsidR="00E479AC" w:rsidRPr="00F975A8" w:rsidRDefault="00E479AC" w:rsidP="00E479AC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E479AC" w:rsidRPr="00F975A8" w:rsidRDefault="00E479AC" w:rsidP="00E479AC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E479AC" w:rsidRPr="00F975A8" w:rsidRDefault="00E479AC" w:rsidP="00E479AC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E479AC" w:rsidRDefault="00E479AC" w:rsidP="00E479AC">
      <w:pPr>
        <w:jc w:val="center"/>
        <w:rPr>
          <w:b/>
          <w:sz w:val="28"/>
          <w:szCs w:val="28"/>
          <w:lang w:val="pt-PT"/>
        </w:rPr>
      </w:pPr>
    </w:p>
    <w:p w:rsidR="00E479AC" w:rsidRDefault="00E479AC" w:rsidP="00E479AC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35BD8F4B" wp14:editId="442F0F08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AC" w:rsidRDefault="00E479AC" w:rsidP="00E479AC">
      <w:pPr>
        <w:jc w:val="center"/>
        <w:rPr>
          <w:lang w:val="pt-PT"/>
        </w:rPr>
      </w:pPr>
    </w:p>
    <w:p w:rsidR="00E479AC" w:rsidRDefault="00E479AC" w:rsidP="00E479AC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E479AC" w:rsidRDefault="00E479AC" w:rsidP="000144F8">
      <w:pPr>
        <w:jc w:val="center"/>
        <w:rPr>
          <w:lang w:val="pt-PT"/>
        </w:rPr>
      </w:pPr>
    </w:p>
    <w:p w:rsidR="00E479AC" w:rsidRDefault="00E479AC" w:rsidP="00E479AC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 xml:space="preserve">Tradução de Materiais de Promoção e Comunicação 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856545" w:rsidRDefault="00856545" w:rsidP="00856545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Avieira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856545" w:rsidRPr="00E479AC" w:rsidRDefault="00E479AC" w:rsidP="00856545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</w:t>
      </w:r>
      <w:r w:rsidR="00856545" w:rsidRPr="00F54475">
        <w:rPr>
          <w:sz w:val="24"/>
          <w:szCs w:val="24"/>
          <w:lang w:val="pt-PT"/>
        </w:rPr>
        <w:t xml:space="preserve"> Turismo do Alentejo </w:t>
      </w:r>
      <w:r>
        <w:rPr>
          <w:sz w:val="24"/>
          <w:szCs w:val="24"/>
          <w:lang w:val="pt-PT"/>
        </w:rPr>
        <w:t>ERT</w:t>
      </w:r>
      <w:r w:rsidR="00856545" w:rsidRPr="00F54475">
        <w:rPr>
          <w:sz w:val="24"/>
          <w:szCs w:val="24"/>
          <w:lang w:val="pt-PT"/>
        </w:rPr>
        <w:t xml:space="preserve"> </w:t>
      </w:r>
      <w:r w:rsidR="00856545"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</w:t>
      </w:r>
      <w:r w:rsidR="00856545" w:rsidRPr="00E479AC">
        <w:rPr>
          <w:sz w:val="24"/>
          <w:szCs w:val="24"/>
          <w:lang w:val="pt-PT"/>
        </w:rPr>
        <w:t xml:space="preserve">mesmos representam para as prioridades estratégicas de desenvolvimento, atratividade e afirmação do destino turístico Alentejo. A inscrição destas manifestações do PCI nas Listas da UNESCO assume um importante contributo </w:t>
      </w:r>
      <w:r w:rsidR="00856545" w:rsidRPr="00E479AC">
        <w:rPr>
          <w:sz w:val="24"/>
          <w:szCs w:val="24"/>
          <w:lang w:val="pt-PT"/>
        </w:rPr>
        <w:lastRenderedPageBreak/>
        <w:t xml:space="preserve">para a consubstanciação dos objetivos que o </w:t>
      </w:r>
      <w:r w:rsidR="00856545" w:rsidRPr="00E479AC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="00856545" w:rsidRPr="00E479AC">
        <w:rPr>
          <w:sz w:val="24"/>
          <w:szCs w:val="24"/>
          <w:lang w:val="pt-PT"/>
        </w:rPr>
        <w:t xml:space="preserve"> propõe e que visam reforçar o reconhecimento internacional do destino Alentejo “pela sua identidade e diferenciação das experiências oferecidas”. </w:t>
      </w:r>
    </w:p>
    <w:p w:rsidR="00856545" w:rsidRPr="00E479AC" w:rsidRDefault="00856545" w:rsidP="00856545">
      <w:pPr>
        <w:jc w:val="both"/>
        <w:rPr>
          <w:sz w:val="24"/>
          <w:szCs w:val="24"/>
          <w:lang w:val="pt-PT"/>
        </w:rPr>
      </w:pPr>
    </w:p>
    <w:p w:rsidR="00856545" w:rsidRPr="00E479AC" w:rsidRDefault="00856545" w:rsidP="00856545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O projeto de criação e promoção de um Catálogo de experiências turísticas baseadas no PCI, promovido pela ERT do Alentejo e Ribatejo, decorre justamente da estratégia enunciada e dos objetivos igualmente traçados no quadro do Objetivo Específico 6.3.1. do Programa Operacional Regional ALENTEJO 2020 (ALENTEJO 2020) “Promover a valorização do património cultural e natural, afirmando a região como destino turístico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856545" w:rsidRPr="00E479AC" w:rsidRDefault="00856545" w:rsidP="00856545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O projeto tem como principais objetivos: 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Promover condições para um posicionamento mais competitivo dos destinos do Alentejo e Ribatejo através da promoção de produtos turísticos baseados no Património Cultural Imaterial (PCI).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Contribuir para o aumento da atratividade turística regional junto dos diferentes mercados, de forma que esta se possa traduzir num aumento efetivo da procura de bens culturais e naturais e na captação acrescida de fluxos turísticos que revertam, entre outros, para a dinamização da economia regional e para o aumento da qualidade de vida das suas populações.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Diversificar a oferta turística e promover, no Alentejo e Ribatejo, um turismo acessível à autenticidade cultural, criando novos motivos, formas e ciclos de visita turística.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Oferecer um itinerário de experiências turísticas únicas e distintivas, baseado em recursos culturais do Alentejo e Ribatejo, predominantemente associados ao PCI inscrito nas Listas da UNESCO ou em processos de candidatura à sua inscrição.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Fomentar o trabalho em rede na construção de propostas de visita turística, nomeadamente, através da articulação entre os diversos PCI e destes com outras iniciativas ou projetos que estejam ou venham a ser desenvolvidos, que possam contribuir para os ganhos de escala e visibilidade desejáveis. 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Assegurar condições para que este segmento de turismo baseado nos PCI se desenvolva de forma sustentável, revertendo valor para as comunidades locais e salvaguardado a sua identidade cultural.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Estimular a troca cultural entre turistas / visitantes e as comunidades, de forma a suscitar dinâmicas culturais integradoras, que se traduzam em experiências de </w:t>
      </w:r>
      <w:r w:rsidRPr="00E479AC">
        <w:rPr>
          <w:sz w:val="24"/>
          <w:szCs w:val="24"/>
          <w:lang w:val="pt-PT"/>
        </w:rPr>
        <w:lastRenderedPageBreak/>
        <w:t xml:space="preserve">visitação mais estimulantes e memoráveis, e simultaneamente, possam contribuir para um maior enriquecimento social das comunidades recetoras. </w:t>
      </w:r>
    </w:p>
    <w:p w:rsidR="00856545" w:rsidRPr="00E479AC" w:rsidRDefault="00856545" w:rsidP="00856545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Promover o turismo para todos, garantindo uma lógica de acessibilidade e inclusão em todas as fases do ciclo da experiência turística.</w:t>
      </w:r>
    </w:p>
    <w:p w:rsidR="00116EBF" w:rsidRPr="00E479AC" w:rsidRDefault="00116EBF" w:rsidP="005310B9">
      <w:pPr>
        <w:jc w:val="both"/>
        <w:rPr>
          <w:sz w:val="24"/>
          <w:szCs w:val="24"/>
          <w:lang w:val="pt-PT"/>
        </w:rPr>
      </w:pPr>
    </w:p>
    <w:p w:rsidR="00116EBF" w:rsidRPr="00E479AC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E479AC">
        <w:rPr>
          <w:b/>
          <w:sz w:val="24"/>
          <w:szCs w:val="24"/>
          <w:lang w:val="pt-PT"/>
        </w:rPr>
        <w:t>Objeto de Aquisição de Serviços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Importa assegurar, por outro lado, que o desenvolvimento das diferentes ações de </w:t>
      </w:r>
      <w:r w:rsidRPr="00E479AC">
        <w:rPr>
          <w:i/>
          <w:sz w:val="24"/>
          <w:szCs w:val="24"/>
          <w:lang w:val="pt-PT"/>
        </w:rPr>
        <w:t xml:space="preserve">marketing </w:t>
      </w:r>
      <w:r w:rsidRPr="00E479AC">
        <w:rPr>
          <w:sz w:val="24"/>
          <w:szCs w:val="24"/>
          <w:lang w:val="pt-PT"/>
        </w:rPr>
        <w:t>e comunicação cumpra os seguintes objetivos gerais:</w:t>
      </w:r>
    </w:p>
    <w:p w:rsidR="00E479AC" w:rsidRPr="00E479AC" w:rsidRDefault="00E479AC" w:rsidP="00E479AC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Concretizar, do ponto de vista operacional, ações de</w:t>
      </w:r>
      <w:r w:rsidRPr="00E479AC">
        <w:rPr>
          <w:i/>
          <w:sz w:val="24"/>
          <w:szCs w:val="24"/>
          <w:lang w:val="pt-PT"/>
        </w:rPr>
        <w:t xml:space="preserve"> marketing </w:t>
      </w:r>
      <w:r w:rsidRPr="00E479AC">
        <w:rPr>
          <w:sz w:val="24"/>
          <w:szCs w:val="24"/>
          <w:lang w:val="pt-PT"/>
        </w:rPr>
        <w:t>e comunicação do catálogo de experiências turísticas baseadas no PCI do Alentejo e Ribatejo de acordo com a estratégia e o planeamento definidos na Ação 1;</w:t>
      </w:r>
    </w:p>
    <w:p w:rsidR="00E479AC" w:rsidRPr="00E479AC" w:rsidRDefault="00E479AC" w:rsidP="00E479AC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Mobilizar e envolver na execução das ações de</w:t>
      </w:r>
      <w:r w:rsidRPr="00E479AC">
        <w:rPr>
          <w:i/>
          <w:sz w:val="24"/>
          <w:szCs w:val="24"/>
          <w:lang w:val="pt-PT"/>
        </w:rPr>
        <w:t xml:space="preserve"> marketing</w:t>
      </w:r>
      <w:r w:rsidRPr="00E479AC">
        <w:rPr>
          <w:sz w:val="24"/>
          <w:szCs w:val="24"/>
          <w:lang w:val="pt-PT"/>
        </w:rPr>
        <w:t xml:space="preserve"> e comunicação não apenas os agentes turísticos promotores de experiências turísticas inseridas no catálogo, mas também as suas principais instituições representativas e as comunidades detentoras de PCI;</w:t>
      </w:r>
    </w:p>
    <w:p w:rsidR="00E479AC" w:rsidRPr="00E479AC" w:rsidRDefault="00E479AC" w:rsidP="00E479AC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Aumentar o reconhecimento do destino turístico Alentejo e Ribatejo, associando-o à autenticidade, especificidade, riqueza e diversidade associados aos seus diferentes PCI.</w:t>
      </w:r>
    </w:p>
    <w:p w:rsidR="00E479AC" w:rsidRPr="00E479AC" w:rsidRDefault="00E479AC" w:rsidP="00E479AC">
      <w:pPr>
        <w:pStyle w:val="PargrafodaLista"/>
        <w:numPr>
          <w:ilvl w:val="0"/>
          <w:numId w:val="16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Articular a estratégia e as ações de</w:t>
      </w:r>
      <w:r w:rsidRPr="00E479AC">
        <w:rPr>
          <w:i/>
          <w:sz w:val="24"/>
          <w:szCs w:val="24"/>
          <w:lang w:val="pt-PT"/>
        </w:rPr>
        <w:t xml:space="preserve"> marketing </w:t>
      </w:r>
      <w:r w:rsidRPr="00E479AC">
        <w:rPr>
          <w:sz w:val="24"/>
          <w:szCs w:val="24"/>
          <w:lang w:val="pt-PT"/>
        </w:rPr>
        <w:t>e comunicação do catálogo do catálogo de experiências turísticas baseadas no PCI do Alentejo e Ribatejo com a estratégia e as iniciativas promovidas pela Agência Regional de Promoção Turística do Alentejo e orientadas para os mercados internacionais.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Nesse sentido, e no âmbito da estratégia de </w:t>
      </w:r>
      <w:r w:rsidRPr="00E479AC">
        <w:rPr>
          <w:i/>
          <w:sz w:val="24"/>
          <w:szCs w:val="24"/>
          <w:lang w:val="pt-PT"/>
        </w:rPr>
        <w:t>marketing</w:t>
      </w:r>
      <w:r w:rsidRPr="00E479AC">
        <w:rPr>
          <w:sz w:val="24"/>
          <w:szCs w:val="24"/>
          <w:lang w:val="pt-PT"/>
        </w:rPr>
        <w:t xml:space="preserve"> e comunicação que o projeto vai delinear, o Turismo do Alentejo ERT pretende promover a conceção de conteúdos comunicacionais e promocionais de qualidade associados ao “Catálogo de Experiências Turísticas baseadas no PCI do Alentejo e Ribatejo”, a produzir em diferentes suportes (impresso e digital) e que incluirão a disponibilização de minifilmes. Atendendo à vocação eminentemente turística deste projeto, entende-se ser fundamental disponibilizar toda a informação a uma audiência internacional, pelo que será necessário traduzir (pelo menos numa língua estrangeira) os conteúdos escritos e/ou áudio. </w:t>
      </w:r>
    </w:p>
    <w:p w:rsidR="00E479AC" w:rsidRDefault="00E479AC" w:rsidP="00E479AC">
      <w:pPr>
        <w:spacing w:line="256" w:lineRule="auto"/>
        <w:jc w:val="both"/>
        <w:rPr>
          <w:sz w:val="24"/>
          <w:szCs w:val="24"/>
          <w:lang w:val="pt-PT"/>
        </w:rPr>
      </w:pPr>
    </w:p>
    <w:p w:rsidR="00E479AC" w:rsidRPr="00E479AC" w:rsidRDefault="00E479AC" w:rsidP="00E479AC">
      <w:pPr>
        <w:spacing w:line="256" w:lineRule="auto"/>
        <w:jc w:val="both"/>
        <w:rPr>
          <w:sz w:val="24"/>
          <w:szCs w:val="24"/>
          <w:lang w:val="pt-PT"/>
        </w:rPr>
      </w:pPr>
      <w:bookmarkStart w:id="0" w:name="_GoBack"/>
      <w:bookmarkEnd w:id="0"/>
      <w:r w:rsidRPr="00E479AC">
        <w:rPr>
          <w:sz w:val="24"/>
          <w:szCs w:val="24"/>
          <w:lang w:val="pt-PT"/>
        </w:rPr>
        <w:t>A efetivação do conjunto de objetivos enunciados implica a realização de um conjunto de atividades e de tarefas, que se distribuem pelas seguintes sub-ações:</w:t>
      </w:r>
    </w:p>
    <w:p w:rsidR="00E479AC" w:rsidRPr="00E479AC" w:rsidRDefault="00E479AC" w:rsidP="00E479AC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Sub-açção 3.1 – Criação da Plataforma on-line e da edição impressa do catálogo de experiências turísticas baseadas no PCI do Alentejo e Ribatejo</w:t>
      </w:r>
    </w:p>
    <w:p w:rsidR="00E479AC" w:rsidRPr="00E479AC" w:rsidRDefault="00E479AC" w:rsidP="00E479AC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Sub-ação 3.2 – Tradução de textos, relativamente a todos os textos necessários para a edição impressa no catálogo e para plataforma (na fase de lançamento).</w:t>
      </w:r>
    </w:p>
    <w:p w:rsidR="00E479AC" w:rsidRPr="00E479AC" w:rsidRDefault="00E479AC" w:rsidP="00E479AC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Sub-ação 3.3. – Ações promocionais para operadores turísticos e imprensa especializada</w:t>
      </w:r>
    </w:p>
    <w:p w:rsidR="00E479AC" w:rsidRPr="00E479AC" w:rsidRDefault="00E479AC" w:rsidP="00E479AC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Sub-ação 3.4. – Produção de conteúdos visuais e audiovisuais.</w:t>
      </w:r>
    </w:p>
    <w:p w:rsidR="00E479AC" w:rsidRPr="00E479AC" w:rsidRDefault="00E479AC" w:rsidP="00E479AC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 aquisição de serviços aqui proposta diz respeito à sub-ação 3.2: Tradução de textos, relativamente a todos os textos necessários para a edição impressa no catálogo e para plataforma (na fase de lançamento).</w:t>
      </w:r>
      <w:r w:rsidRPr="00E479AC">
        <w:rPr>
          <w:sz w:val="24"/>
          <w:szCs w:val="24"/>
          <w:lang w:val="pt-PT"/>
        </w:rPr>
        <w:t xml:space="preserve"> </w:t>
      </w:r>
      <w:r w:rsidRPr="00E479AC">
        <w:rPr>
          <w:sz w:val="24"/>
          <w:szCs w:val="24"/>
          <w:lang w:val="pt-PT"/>
        </w:rPr>
        <w:t>De seguida, especificam-se algumas das caraterísticas fundamentais a ter em consideração na tradução para língua inglesa dos materiais de promoção e comunicação do “Catálogo de Experiências Turísticas baseadas no PCI do Alentejo e Ribatejo”.</w:t>
      </w:r>
    </w:p>
    <w:p w:rsidR="00E479AC" w:rsidRPr="00E479AC" w:rsidRDefault="00E479AC" w:rsidP="00E479AC">
      <w:pPr>
        <w:pStyle w:val="PargrafodaLista"/>
        <w:jc w:val="both"/>
        <w:rPr>
          <w:sz w:val="24"/>
          <w:szCs w:val="24"/>
          <w:lang w:val="pt-PT"/>
        </w:rPr>
      </w:pPr>
    </w:p>
    <w:p w:rsidR="00E479AC" w:rsidRPr="00E479AC" w:rsidRDefault="00E479AC" w:rsidP="00E479AC">
      <w:pPr>
        <w:pStyle w:val="PargrafodaLista"/>
        <w:jc w:val="both"/>
        <w:rPr>
          <w:b/>
          <w:sz w:val="24"/>
          <w:szCs w:val="24"/>
          <w:lang w:val="pt-PT"/>
        </w:rPr>
      </w:pPr>
      <w:r w:rsidRPr="00E479AC">
        <w:rPr>
          <w:b/>
          <w:sz w:val="24"/>
          <w:szCs w:val="24"/>
          <w:lang w:val="pt-PT"/>
        </w:rPr>
        <w:t>Características de Tradução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A tradução deverá incidir sobre os conteúdos escritos e áudio presentes nos seguintes suportes comunicacionais:</w:t>
      </w:r>
    </w:p>
    <w:p w:rsidR="00E479AC" w:rsidRPr="00E479AC" w:rsidRDefault="00E479AC" w:rsidP="00E479AC">
      <w:pPr>
        <w:pStyle w:val="PargrafodaLista"/>
        <w:numPr>
          <w:ilvl w:val="0"/>
          <w:numId w:val="19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Edição impressa do Catálogo (1);</w:t>
      </w:r>
    </w:p>
    <w:p w:rsidR="00E479AC" w:rsidRPr="00E479AC" w:rsidRDefault="00E479AC" w:rsidP="00E479AC">
      <w:pPr>
        <w:pStyle w:val="PargrafodaLista"/>
        <w:numPr>
          <w:ilvl w:val="0"/>
          <w:numId w:val="19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Plataforma Online do Catálogo (1);</w:t>
      </w:r>
    </w:p>
    <w:p w:rsidR="00E479AC" w:rsidRPr="00E479AC" w:rsidRDefault="00E479AC" w:rsidP="00E479AC">
      <w:pPr>
        <w:pStyle w:val="PargrafodaLista"/>
        <w:numPr>
          <w:ilvl w:val="0"/>
          <w:numId w:val="19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Minifilmes (documentários sobre cada um dos PCI +1 documentário de síntese global, sobre o “Catálogo de Experiências Turísticas baseadas no PCI do Alentejo e Ribatejo”).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Embora não seja ainda possível, nesta fase, estimar com precisão a dimensão dos textos a traduzir, apresentam-se desde já algumas referências para a dimensão dos textos de cada um desses suportes: </w:t>
      </w:r>
    </w:p>
    <w:p w:rsidR="00E479AC" w:rsidRPr="00E479AC" w:rsidRDefault="00E479AC" w:rsidP="00E479AC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textos a incluir na edição impressa - 55.000 palavras; </w:t>
      </w:r>
    </w:p>
    <w:p w:rsidR="00E479AC" w:rsidRPr="00E479AC" w:rsidRDefault="00E479AC" w:rsidP="00E479AC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textos a inserir na Plataforma Online  - 22.500 palavras; </w:t>
      </w:r>
    </w:p>
    <w:p w:rsidR="00E479AC" w:rsidRPr="00E479AC" w:rsidRDefault="00E479AC" w:rsidP="00E479AC">
      <w:pPr>
        <w:pStyle w:val="PargrafodaLista"/>
        <w:numPr>
          <w:ilvl w:val="0"/>
          <w:numId w:val="20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os conteúdos áudio dos minifilmes a traduzir para legendagem - 11.000 palavras.</w:t>
      </w: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</w:p>
    <w:p w:rsidR="00E479AC" w:rsidRPr="00E479AC" w:rsidRDefault="00E479AC" w:rsidP="00E479AC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Os presentes termos de referência respeitam aos trabalhos de:</w:t>
      </w:r>
    </w:p>
    <w:p w:rsidR="00E479AC" w:rsidRPr="00E479AC" w:rsidRDefault="00E479AC" w:rsidP="00E479AC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Tradução de conteúdos escritos e áudio/ legendagem,</w:t>
      </w:r>
    </w:p>
    <w:p w:rsidR="00E479AC" w:rsidRPr="00E479AC" w:rsidRDefault="00E479AC" w:rsidP="00E479AC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Possibilidade de revisão de conteúdos já fornecidos pela Entidade Contratante em língua inglesa, com vista à sua integração nos vários textos em inglês.</w:t>
      </w:r>
    </w:p>
    <w:p w:rsidR="00856545" w:rsidRPr="00E479AC" w:rsidRDefault="00856545" w:rsidP="00856545">
      <w:pPr>
        <w:jc w:val="both"/>
        <w:rPr>
          <w:b/>
          <w:sz w:val="24"/>
          <w:szCs w:val="24"/>
          <w:lang w:val="pt-PT"/>
        </w:rPr>
      </w:pPr>
    </w:p>
    <w:p w:rsidR="00116EBF" w:rsidRPr="00E479AC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E479AC">
        <w:rPr>
          <w:b/>
          <w:sz w:val="24"/>
          <w:szCs w:val="24"/>
          <w:lang w:val="pt-PT"/>
        </w:rPr>
        <w:lastRenderedPageBreak/>
        <w:t>Estimativa Orçamental e Prazos</w:t>
      </w:r>
    </w:p>
    <w:p w:rsidR="00116EBF" w:rsidRPr="00E479AC" w:rsidRDefault="00116EBF" w:rsidP="00116EBF">
      <w:pPr>
        <w:pStyle w:val="PargrafodaLista"/>
        <w:jc w:val="both"/>
        <w:rPr>
          <w:sz w:val="24"/>
          <w:szCs w:val="24"/>
          <w:lang w:val="pt-PT"/>
        </w:rPr>
      </w:pPr>
    </w:p>
    <w:p w:rsidR="00116EBF" w:rsidRPr="00E479AC" w:rsidRDefault="00116EBF" w:rsidP="00116EBF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Considerando os trabalhos a desenvolver o valor base de referência para a conceção e desenho do catálogo de experiências turísticas baseadas no PCI do Alentejo e Ribatejo não deverá ultrapassar o valor global de </w:t>
      </w:r>
      <w:r w:rsidR="008D2B73" w:rsidRPr="00E479AC">
        <w:rPr>
          <w:sz w:val="24"/>
          <w:szCs w:val="24"/>
          <w:lang w:val="pt-PT"/>
        </w:rPr>
        <w:t>6</w:t>
      </w:r>
      <w:r w:rsidRPr="00E479AC">
        <w:rPr>
          <w:sz w:val="24"/>
          <w:szCs w:val="24"/>
          <w:lang w:val="pt-PT"/>
        </w:rPr>
        <w:t>.000,00 € (</w:t>
      </w:r>
      <w:r w:rsidR="008D2B73" w:rsidRPr="00E479AC">
        <w:rPr>
          <w:sz w:val="24"/>
          <w:szCs w:val="24"/>
          <w:lang w:val="pt-PT"/>
        </w:rPr>
        <w:t>seis</w:t>
      </w:r>
      <w:r w:rsidRPr="00E479AC">
        <w:rPr>
          <w:sz w:val="24"/>
          <w:szCs w:val="24"/>
          <w:lang w:val="pt-PT"/>
        </w:rPr>
        <w:t xml:space="preserve"> mil euros), a que acresce o IVA à taxa legal em vigor.</w:t>
      </w:r>
    </w:p>
    <w:p w:rsidR="00116EBF" w:rsidRPr="00E479AC" w:rsidRDefault="00116EBF" w:rsidP="00116EBF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 xml:space="preserve">O prazo global para a execução dos trabalhos não deverá ultrapassar os </w:t>
      </w:r>
      <w:r w:rsidR="00856545" w:rsidRPr="00E479AC">
        <w:rPr>
          <w:sz w:val="24"/>
          <w:szCs w:val="24"/>
          <w:lang w:val="pt-PT"/>
        </w:rPr>
        <w:t>5</w:t>
      </w:r>
      <w:r w:rsidRPr="00E479AC">
        <w:rPr>
          <w:sz w:val="24"/>
          <w:szCs w:val="24"/>
          <w:lang w:val="pt-PT"/>
        </w:rPr>
        <w:t xml:space="preserve"> meses.</w:t>
      </w:r>
    </w:p>
    <w:p w:rsidR="00116EBF" w:rsidRPr="00E479AC" w:rsidRDefault="00116EBF" w:rsidP="00116EBF">
      <w:pPr>
        <w:jc w:val="both"/>
        <w:rPr>
          <w:sz w:val="24"/>
          <w:szCs w:val="24"/>
          <w:lang w:val="pt-PT"/>
        </w:rPr>
      </w:pPr>
    </w:p>
    <w:p w:rsidR="00851A20" w:rsidRPr="00E479AC" w:rsidRDefault="00851A20" w:rsidP="00851A20">
      <w:pPr>
        <w:jc w:val="both"/>
        <w:rPr>
          <w:sz w:val="24"/>
          <w:szCs w:val="24"/>
          <w:lang w:val="pt-PT"/>
        </w:rPr>
      </w:pPr>
      <w:r w:rsidRPr="00E479AC">
        <w:rPr>
          <w:sz w:val="24"/>
          <w:szCs w:val="24"/>
          <w:lang w:val="pt-PT"/>
        </w:rPr>
        <w:t>Évora, 20 de Julho de 2016</w:t>
      </w:r>
    </w:p>
    <w:sectPr w:rsidR="00851A20" w:rsidRPr="00E479AC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C02" w:rsidRDefault="00084C02" w:rsidP="004622A3">
      <w:pPr>
        <w:spacing w:after="0" w:line="240" w:lineRule="auto"/>
      </w:pPr>
      <w:r>
        <w:separator/>
      </w:r>
    </w:p>
  </w:endnote>
  <w:endnote w:type="continuationSeparator" w:id="0">
    <w:p w:rsidR="00084C02" w:rsidRDefault="00084C02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0F5D9F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E479AC" w:rsidRPr="00E479AC">
          <w:rPr>
            <w:noProof/>
            <w:sz w:val="24"/>
            <w:szCs w:val="24"/>
            <w:lang w:val="pt-PT"/>
          </w:rPr>
          <w:t>4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C02" w:rsidRDefault="00084C02" w:rsidP="004622A3">
      <w:pPr>
        <w:spacing w:after="0" w:line="240" w:lineRule="auto"/>
      </w:pPr>
      <w:r>
        <w:separator/>
      </w:r>
    </w:p>
  </w:footnote>
  <w:footnote w:type="continuationSeparator" w:id="0">
    <w:p w:rsidR="00084C02" w:rsidRDefault="00084C02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770"/>
    <w:multiLevelType w:val="hybridMultilevel"/>
    <w:tmpl w:val="8F8EA1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16ED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CB1525"/>
    <w:multiLevelType w:val="hybridMultilevel"/>
    <w:tmpl w:val="E710F0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440B5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6939"/>
    <w:multiLevelType w:val="hybridMultilevel"/>
    <w:tmpl w:val="F8F2FA4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A553C"/>
    <w:multiLevelType w:val="hybridMultilevel"/>
    <w:tmpl w:val="2D1846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7576B"/>
    <w:multiLevelType w:val="hybridMultilevel"/>
    <w:tmpl w:val="F976ED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0569E9"/>
    <w:multiLevelType w:val="hybridMultilevel"/>
    <w:tmpl w:val="CA2A42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13"/>
  </w:num>
  <w:num w:numId="5">
    <w:abstractNumId w:val="15"/>
  </w:num>
  <w:num w:numId="6">
    <w:abstractNumId w:val="14"/>
  </w:num>
  <w:num w:numId="7">
    <w:abstractNumId w:val="2"/>
  </w:num>
  <w:num w:numId="8">
    <w:abstractNumId w:val="18"/>
  </w:num>
  <w:num w:numId="9">
    <w:abstractNumId w:val="5"/>
  </w:num>
  <w:num w:numId="10">
    <w:abstractNumId w:val="3"/>
  </w:num>
  <w:num w:numId="11">
    <w:abstractNumId w:val="4"/>
  </w:num>
  <w:num w:numId="12">
    <w:abstractNumId w:val="7"/>
  </w:num>
  <w:num w:numId="13">
    <w:abstractNumId w:val="9"/>
  </w:num>
  <w:num w:numId="14">
    <w:abstractNumId w:val="11"/>
  </w:num>
  <w:num w:numId="15">
    <w:abstractNumId w:val="16"/>
  </w:num>
  <w:num w:numId="16">
    <w:abstractNumId w:val="1"/>
  </w:num>
  <w:num w:numId="17">
    <w:abstractNumId w:val="0"/>
  </w:num>
  <w:num w:numId="18">
    <w:abstractNumId w:val="12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84C02"/>
    <w:rsid w:val="000D1203"/>
    <w:rsid w:val="000E17CB"/>
    <w:rsid w:val="000F5D9F"/>
    <w:rsid w:val="00116EBF"/>
    <w:rsid w:val="00123433"/>
    <w:rsid w:val="00271F4D"/>
    <w:rsid w:val="00354A6D"/>
    <w:rsid w:val="00365794"/>
    <w:rsid w:val="004312C5"/>
    <w:rsid w:val="004622A3"/>
    <w:rsid w:val="004628E8"/>
    <w:rsid w:val="004A0BEA"/>
    <w:rsid w:val="005310B9"/>
    <w:rsid w:val="00614342"/>
    <w:rsid w:val="0071492E"/>
    <w:rsid w:val="00851A20"/>
    <w:rsid w:val="00856545"/>
    <w:rsid w:val="008C1743"/>
    <w:rsid w:val="008D2B73"/>
    <w:rsid w:val="00901963"/>
    <w:rsid w:val="0094463C"/>
    <w:rsid w:val="00980BE8"/>
    <w:rsid w:val="00AA36FB"/>
    <w:rsid w:val="00B46E42"/>
    <w:rsid w:val="00B6415B"/>
    <w:rsid w:val="00B776D0"/>
    <w:rsid w:val="00B96CF9"/>
    <w:rsid w:val="00C1289C"/>
    <w:rsid w:val="00C302A1"/>
    <w:rsid w:val="00C72202"/>
    <w:rsid w:val="00CE68D8"/>
    <w:rsid w:val="00D62712"/>
    <w:rsid w:val="00D776A8"/>
    <w:rsid w:val="00E21901"/>
    <w:rsid w:val="00E479AC"/>
    <w:rsid w:val="00E47E7D"/>
    <w:rsid w:val="00F117E3"/>
    <w:rsid w:val="00F415BB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16096-C4F6-4531-A44B-FBB2F548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  <w:style w:type="character" w:styleId="Hiperligao">
    <w:name w:val="Hyperlink"/>
    <w:basedOn w:val="Tipodeletrapredefinidodopargrafo"/>
    <w:uiPriority w:val="99"/>
    <w:unhideWhenUsed/>
    <w:rsid w:val="00856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1669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2</cp:revision>
  <dcterms:created xsi:type="dcterms:W3CDTF">2016-07-27T16:11:00Z</dcterms:created>
  <dcterms:modified xsi:type="dcterms:W3CDTF">2016-07-27T16:11:00Z</dcterms:modified>
</cp:coreProperties>
</file>